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7C" w:rsidRPr="00872C7C" w:rsidRDefault="00872C7C" w:rsidP="00872C7C">
      <w:pPr>
        <w:pStyle w:val="Titolo3"/>
        <w:rPr>
          <w:b/>
          <w:bCs/>
          <w:u w:val="single"/>
        </w:rPr>
      </w:pPr>
      <w:bookmarkStart w:id="0" w:name="_r11ufi59i0me" w:colFirst="0" w:colLast="0"/>
      <w:bookmarkEnd w:id="0"/>
      <w:r w:rsidRPr="00872C7C">
        <w:rPr>
          <w:b/>
          <w:bCs/>
          <w:u w:val="single"/>
        </w:rPr>
        <w:t>ECOBONU</w:t>
      </w:r>
      <w:r>
        <w:rPr>
          <w:b/>
          <w:bCs/>
          <w:u w:val="single"/>
        </w:rPr>
        <w:t xml:space="preserve">S VEICOLI COMMERCIALI </w:t>
      </w:r>
      <w:r w:rsidRPr="00872C7C">
        <w:rPr>
          <w:b/>
          <w:bCs/>
          <w:u w:val="single"/>
        </w:rPr>
        <w:t xml:space="preserve">(N1 E N2) </w:t>
      </w:r>
    </w:p>
    <w:p w:rsidR="00872C7C" w:rsidRPr="00DD628F" w:rsidRDefault="00872C7C" w:rsidP="00872C7C">
      <w:pPr>
        <w:pStyle w:val="Titolo3"/>
        <w:jc w:val="both"/>
        <w:rPr>
          <w:b/>
          <w:bCs/>
        </w:rPr>
      </w:pPr>
      <w:r>
        <w:rPr>
          <w:b/>
          <w:bCs/>
        </w:rPr>
        <w:t>Soggetti b</w:t>
      </w:r>
      <w:r w:rsidRPr="00DD628F">
        <w:rPr>
          <w:b/>
          <w:bCs/>
        </w:rPr>
        <w:t>eneficiari</w:t>
      </w:r>
    </w:p>
    <w:p w:rsidR="00872C7C" w:rsidRDefault="00872C7C" w:rsidP="00872C7C">
      <w:pPr>
        <w:jc w:val="both"/>
      </w:pPr>
      <w:r>
        <w:t xml:space="preserve">Il contributo è rivolto alle </w:t>
      </w:r>
      <w:r>
        <w:rPr>
          <w:b/>
          <w:bCs/>
        </w:rPr>
        <w:t>Piccole e Medie Imprese (PMI)</w:t>
      </w:r>
      <w:r>
        <w:t xml:space="preserve">, regolarmente residenti sul territorio italiano, che esercitano l'attività di trasporto di cose in </w:t>
      </w:r>
      <w:r>
        <w:rPr>
          <w:b/>
          <w:bCs/>
        </w:rPr>
        <w:t>conto proprio o in conto terzi</w:t>
      </w:r>
      <w:r>
        <w:t xml:space="preserve"> . La misura è estesa anche alle </w:t>
      </w:r>
      <w:r>
        <w:rPr>
          <w:b/>
          <w:bCs/>
        </w:rPr>
        <w:t>società di noleggio</w:t>
      </w:r>
      <w:r>
        <w:t>, a condizione che il veicolo sia oggetto di un contratto di noleggio di durata non inferiore a tre anni stipulato con una PMI del settore trasporti</w:t>
      </w:r>
    </w:p>
    <w:p w:rsidR="00872C7C" w:rsidRPr="00DD628F" w:rsidRDefault="00872C7C" w:rsidP="00872C7C">
      <w:pPr>
        <w:pStyle w:val="Titolo3"/>
        <w:jc w:val="both"/>
        <w:rPr>
          <w:b/>
          <w:bCs/>
        </w:rPr>
      </w:pPr>
      <w:bookmarkStart w:id="1" w:name="_iwgq0sm2kw0p" w:colFirst="0" w:colLast="0"/>
      <w:bookmarkEnd w:id="1"/>
      <w:r>
        <w:rPr>
          <w:b/>
          <w:bCs/>
        </w:rPr>
        <w:t>Veicoli ammessi e r</w:t>
      </w:r>
      <w:r w:rsidRPr="00DD628F">
        <w:rPr>
          <w:b/>
          <w:bCs/>
        </w:rPr>
        <w:t>equisiti</w:t>
      </w:r>
    </w:p>
    <w:p w:rsidR="00872C7C" w:rsidRDefault="00872C7C" w:rsidP="00872C7C">
      <w:pPr>
        <w:jc w:val="both"/>
      </w:pPr>
      <w:r>
        <w:t>Gli incentivi riguardano l'acquisto, anche in locazione finanziaria (leasing), di veicoli commerciali nuovi di fabbrica appartenenti alle categorie:</w:t>
      </w:r>
      <w:bookmarkStart w:id="2" w:name="_GoBack"/>
      <w:bookmarkEnd w:id="2"/>
    </w:p>
    <w:p w:rsidR="00872C7C" w:rsidRDefault="00872C7C" w:rsidP="00872C7C">
      <w:pPr>
        <w:numPr>
          <w:ilvl w:val="0"/>
          <w:numId w:val="1"/>
        </w:numPr>
        <w:jc w:val="both"/>
      </w:pPr>
      <w:r>
        <w:rPr>
          <w:b/>
          <w:bCs/>
        </w:rPr>
        <w:t>N1</w:t>
      </w:r>
      <w:r>
        <w:t xml:space="preserve"> (veicoli leggeri per il trasporto merci) </w:t>
      </w:r>
    </w:p>
    <w:p w:rsidR="00872C7C" w:rsidRDefault="00872C7C" w:rsidP="00872C7C">
      <w:pPr>
        <w:numPr>
          <w:ilvl w:val="0"/>
          <w:numId w:val="1"/>
        </w:numPr>
        <w:jc w:val="both"/>
      </w:pPr>
      <w:r>
        <w:rPr>
          <w:b/>
          <w:bCs/>
        </w:rPr>
        <w:t>N2</w:t>
      </w:r>
      <w:r>
        <w:t xml:space="preserve"> (veicoli per trasporto merci con massa fino a 7,2 tonnellate) </w:t>
      </w:r>
    </w:p>
    <w:p w:rsidR="00872C7C" w:rsidRDefault="00872C7C" w:rsidP="00872C7C">
      <w:pPr>
        <w:pStyle w:val="Titolo3"/>
        <w:jc w:val="both"/>
        <w:rPr>
          <w:b/>
          <w:bCs/>
        </w:rPr>
      </w:pPr>
      <w:bookmarkStart w:id="3" w:name="_oco23uqp8794" w:colFirst="0" w:colLast="0"/>
      <w:bookmarkEnd w:id="3"/>
      <w:r>
        <w:rPr>
          <w:b/>
          <w:bCs/>
        </w:rPr>
        <w:t>Entità del c</w:t>
      </w:r>
      <w:r w:rsidRPr="00DD628F">
        <w:rPr>
          <w:b/>
          <w:bCs/>
        </w:rPr>
        <w:t>ontributo</w:t>
      </w:r>
    </w:p>
    <w:p w:rsidR="00872C7C" w:rsidRDefault="00872C7C" w:rsidP="00872C7C">
      <w:pPr>
        <w:jc w:val="both"/>
      </w:pPr>
      <w:r>
        <w:t xml:space="preserve">L’importo dell'agevolazione è differenziato in base alla </w:t>
      </w:r>
      <w:r>
        <w:rPr>
          <w:b/>
          <w:bCs/>
        </w:rPr>
        <w:t>Massa Totale a Terra</w:t>
      </w:r>
      <w:r>
        <w:t xml:space="preserve"> del veicolo e alla tipologia di </w:t>
      </w:r>
      <w:r>
        <w:rPr>
          <w:b/>
          <w:bCs/>
        </w:rPr>
        <w:t>alimentazione</w:t>
      </w:r>
      <w:r>
        <w:t>. Di seguito lo schema sintetico dei contributi:</w:t>
      </w:r>
    </w:p>
    <w:p w:rsidR="00872C7C" w:rsidRDefault="00872C7C" w:rsidP="00872C7C">
      <w:pPr>
        <w:jc w:val="both"/>
      </w:pPr>
    </w:p>
    <w:p w:rsidR="00872C7C" w:rsidRDefault="00872C7C" w:rsidP="00872C7C"/>
    <w:p w:rsidR="00872C7C" w:rsidRDefault="00872C7C" w:rsidP="00872C7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5089"/>
        <w:gridCol w:w="2225"/>
      </w:tblGrid>
      <w:tr w:rsidR="00872C7C" w:rsidRPr="00244184" w:rsidTr="004126EA">
        <w:tc>
          <w:tcPr>
            <w:tcW w:w="0" w:type="auto"/>
            <w:tcBorders>
              <w:bottom w:val="single" w:sz="6" w:space="0" w:color="919191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b/>
                <w:bCs/>
                <w:lang w:val="it-IT"/>
              </w:rPr>
            </w:pPr>
            <w:r w:rsidRPr="00244184">
              <w:rPr>
                <w:b/>
                <w:bCs/>
                <w:lang w:val="it-IT"/>
              </w:rPr>
              <w:t>Massa Totale a Terra</w:t>
            </w:r>
          </w:p>
        </w:tc>
        <w:tc>
          <w:tcPr>
            <w:tcW w:w="5089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b/>
                <w:bCs/>
                <w:lang w:val="it-IT"/>
              </w:rPr>
            </w:pPr>
            <w:r w:rsidRPr="00244184">
              <w:rPr>
                <w:b/>
                <w:bCs/>
                <w:lang w:val="it-IT"/>
              </w:rPr>
              <w:t>BEV e FCEV (Elettrici/Idrogeno)</w:t>
            </w:r>
          </w:p>
        </w:tc>
        <w:tc>
          <w:tcPr>
            <w:tcW w:w="2225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b/>
                <w:bCs/>
                <w:lang w:val="it-IT"/>
              </w:rPr>
            </w:pPr>
            <w:r w:rsidRPr="00244184">
              <w:rPr>
                <w:b/>
                <w:bCs/>
                <w:lang w:val="it-IT"/>
              </w:rPr>
              <w:t>Alimentazioni Tradizionali</w:t>
            </w:r>
          </w:p>
        </w:tc>
      </w:tr>
      <w:tr w:rsidR="00872C7C" w:rsidRPr="00244184" w:rsidTr="004126EA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b/>
                <w:bCs/>
                <w:lang w:val="it-IT"/>
              </w:rPr>
              <w:t>0 - 1,49 t</w:t>
            </w:r>
          </w:p>
        </w:tc>
        <w:tc>
          <w:tcPr>
            <w:tcW w:w="508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€ 2.000 (senza rottamazione) / € 4.000 (con rottamazione)</w:t>
            </w:r>
          </w:p>
        </w:tc>
        <w:tc>
          <w:tcPr>
            <w:tcW w:w="2225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€ 2.000 (solo con rottamazione)</w:t>
            </w:r>
          </w:p>
        </w:tc>
      </w:tr>
      <w:tr w:rsidR="00872C7C" w:rsidRPr="00244184" w:rsidTr="004126EA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b/>
                <w:bCs/>
                <w:lang w:val="it-IT"/>
              </w:rPr>
              <w:t>1,50 - 2,39 t</w:t>
            </w:r>
          </w:p>
        </w:tc>
        <w:tc>
          <w:tcPr>
            <w:tcW w:w="508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€ 4.500 (senza rottamazione) / € 8.000 (con rottamazione)</w:t>
            </w:r>
          </w:p>
        </w:tc>
        <w:tc>
          <w:tcPr>
            <w:tcW w:w="2225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€ 3.000 (solo con rottamazione)</w:t>
            </w:r>
          </w:p>
        </w:tc>
      </w:tr>
      <w:tr w:rsidR="00872C7C" w:rsidRPr="00244184" w:rsidTr="004126EA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b/>
                <w:bCs/>
                <w:lang w:val="it-IT"/>
              </w:rPr>
              <w:t>2,40 - 3,49 t</w:t>
            </w:r>
          </w:p>
        </w:tc>
        <w:tc>
          <w:tcPr>
            <w:tcW w:w="508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€ 10.000 (senza rottamazione) / € 14.000 (con rottamazione)</w:t>
            </w:r>
          </w:p>
        </w:tc>
        <w:tc>
          <w:tcPr>
            <w:tcW w:w="2225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€ 4.500 (solo con rottamazione)</w:t>
            </w:r>
          </w:p>
        </w:tc>
      </w:tr>
      <w:tr w:rsidR="00872C7C" w:rsidRPr="00244184" w:rsidTr="004126EA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b/>
                <w:bCs/>
                <w:lang w:val="it-IT"/>
              </w:rPr>
              <w:t>3,50 - 4,24 t</w:t>
            </w:r>
          </w:p>
        </w:tc>
        <w:tc>
          <w:tcPr>
            <w:tcW w:w="508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€ 14.000 (senza rottamazione) / € 18.000 (con rottamazione)</w:t>
            </w:r>
          </w:p>
        </w:tc>
        <w:tc>
          <w:tcPr>
            <w:tcW w:w="2225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€ 8.000 (solo con rottamazione)</w:t>
            </w:r>
          </w:p>
        </w:tc>
      </w:tr>
      <w:tr w:rsidR="00872C7C" w:rsidRPr="00244184" w:rsidTr="004126EA">
        <w:tc>
          <w:tcPr>
            <w:tcW w:w="0" w:type="auto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b/>
                <w:bCs/>
                <w:lang w:val="it-IT"/>
              </w:rPr>
              <w:t>4,25 - 7,2 t</w:t>
            </w:r>
          </w:p>
        </w:tc>
        <w:tc>
          <w:tcPr>
            <w:tcW w:w="508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€ 16.000 (senza rottamazione) / € 20.000 (con rottamazione)</w:t>
            </w:r>
          </w:p>
        </w:tc>
        <w:tc>
          <w:tcPr>
            <w:tcW w:w="2225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872C7C" w:rsidRPr="00244184" w:rsidRDefault="00872C7C" w:rsidP="004126EA">
            <w:pPr>
              <w:rPr>
                <w:lang w:val="it-IT"/>
              </w:rPr>
            </w:pPr>
            <w:r w:rsidRPr="00244184">
              <w:rPr>
                <w:lang w:val="it-IT"/>
              </w:rPr>
              <w:t>€ 10.000 (solo con rottamazione)</w:t>
            </w:r>
          </w:p>
        </w:tc>
      </w:tr>
    </w:tbl>
    <w:p w:rsidR="00872C7C" w:rsidRDefault="00872C7C" w:rsidP="00872C7C"/>
    <w:p w:rsidR="00872C7C" w:rsidRPr="00DD628F" w:rsidRDefault="00872C7C" w:rsidP="00872C7C">
      <w:pPr>
        <w:pStyle w:val="Titolo3"/>
        <w:jc w:val="both"/>
        <w:rPr>
          <w:b/>
          <w:bCs/>
        </w:rPr>
      </w:pPr>
      <w:bookmarkStart w:id="4" w:name="_ce0d7bwp5ypa" w:colFirst="0" w:colLast="0"/>
      <w:bookmarkEnd w:id="4"/>
      <w:r>
        <w:rPr>
          <w:b/>
          <w:bCs/>
        </w:rPr>
        <w:t>Regole sulla r</w:t>
      </w:r>
      <w:r w:rsidRPr="00DD628F">
        <w:rPr>
          <w:b/>
          <w:bCs/>
        </w:rPr>
        <w:t>ottamazione</w:t>
      </w:r>
    </w:p>
    <w:p w:rsidR="00872C7C" w:rsidRDefault="00872C7C" w:rsidP="00872C7C">
      <w:pPr>
        <w:jc w:val="both"/>
      </w:pPr>
      <w:r>
        <w:t xml:space="preserve">Per i veicoli ad </w:t>
      </w:r>
      <w:r>
        <w:rPr>
          <w:b/>
          <w:bCs/>
        </w:rPr>
        <w:t>alimentazione tradizionale</w:t>
      </w:r>
      <w:r>
        <w:t xml:space="preserve"> (Diesel, CNG, Ibridi), il contributo è </w:t>
      </w:r>
      <w:r>
        <w:rPr>
          <w:b/>
          <w:bCs/>
        </w:rPr>
        <w:t>obbligatoriamente</w:t>
      </w:r>
      <w:r>
        <w:t xml:space="preserve"> subordinato alla contestuale rottamazione di un veicolo della medesima categoria omologato in una classe fino a </w:t>
      </w:r>
      <w:r>
        <w:rPr>
          <w:b/>
          <w:bCs/>
        </w:rPr>
        <w:t>Euro 4</w:t>
      </w:r>
      <w:r>
        <w:t xml:space="preserve"> . Per i veicoli elettrici (BEV) o a idrogeno (FCEV), la rottamazione è facoltativa ma garantisce una maggiorazione del bonus . Il veicolo da rottamare deve essere intestato al beneficiario (o all'utilizzatore in caso di leasing) da almeno mesi </w:t>
      </w:r>
    </w:p>
    <w:p w:rsidR="00872C7C" w:rsidRPr="00DD628F" w:rsidRDefault="00872C7C" w:rsidP="00872C7C">
      <w:pPr>
        <w:pStyle w:val="Titolo3"/>
        <w:jc w:val="both"/>
        <w:rPr>
          <w:b/>
          <w:bCs/>
        </w:rPr>
      </w:pPr>
      <w:bookmarkStart w:id="5" w:name="_194ki1t684rm" w:colFirst="0" w:colLast="0"/>
      <w:bookmarkEnd w:id="5"/>
      <w:r>
        <w:rPr>
          <w:b/>
          <w:bCs/>
        </w:rPr>
        <w:lastRenderedPageBreak/>
        <w:t>Procedura di prenotazione e o</w:t>
      </w:r>
      <w:r w:rsidRPr="00DD628F">
        <w:rPr>
          <w:b/>
          <w:bCs/>
        </w:rPr>
        <w:t>bblighi</w:t>
      </w:r>
    </w:p>
    <w:p w:rsidR="00872C7C" w:rsidRDefault="00872C7C" w:rsidP="00872C7C">
      <w:pPr>
        <w:numPr>
          <w:ilvl w:val="0"/>
          <w:numId w:val="2"/>
        </w:numPr>
        <w:jc w:val="both"/>
      </w:pPr>
      <w:r>
        <w:rPr>
          <w:b/>
          <w:bCs/>
        </w:rPr>
        <w:t>Erogazione:</w:t>
      </w:r>
      <w:r>
        <w:t xml:space="preserve"> Il contributo è corrisposto dal concessionario tramite sconto sul prezzo di acquisto . Le imprese costruttrici rimborsano il concessionario recuperando l'importo come credito d'imposta </w:t>
      </w:r>
    </w:p>
    <w:p w:rsidR="00872C7C" w:rsidRDefault="00872C7C" w:rsidP="00872C7C">
      <w:pPr>
        <w:numPr>
          <w:ilvl w:val="0"/>
          <w:numId w:val="2"/>
        </w:numPr>
        <w:jc w:val="both"/>
      </w:pPr>
      <w:r>
        <w:rPr>
          <w:b/>
          <w:bCs/>
        </w:rPr>
        <w:t>Mantenimento Proprietà:</w:t>
      </w:r>
      <w:r>
        <w:t xml:space="preserve"> Le PMI beneficiarie sono obbligate a mantenere la proprietà del veicolo per almeno </w:t>
      </w:r>
      <w:r>
        <w:rPr>
          <w:b/>
          <w:bCs/>
        </w:rPr>
        <w:t>24 mesi</w:t>
      </w:r>
      <w:r>
        <w:t>.</w:t>
      </w:r>
    </w:p>
    <w:p w:rsidR="00872C7C" w:rsidRDefault="00872C7C" w:rsidP="00872C7C">
      <w:pPr>
        <w:numPr>
          <w:ilvl w:val="0"/>
          <w:numId w:val="2"/>
        </w:numPr>
        <w:jc w:val="both"/>
      </w:pPr>
      <w:r>
        <w:rPr>
          <w:b/>
          <w:bCs/>
        </w:rPr>
        <w:t>Piattaforma:</w:t>
      </w:r>
      <w:r>
        <w:t xml:space="preserve"> Le prenotazioni devono essere effettuate dai concessionari sulla piattaforma digitale gestita da </w:t>
      </w:r>
      <w:proofErr w:type="spellStart"/>
      <w:r>
        <w:rPr>
          <w:b/>
          <w:bCs/>
        </w:rPr>
        <w:t>Invitalia</w:t>
      </w:r>
      <w:proofErr w:type="spellEnd"/>
      <w:r>
        <w:t xml:space="preserve"> . Sebbene i contratti possano essere sottoscritti dal 26 giugno 2026, la piattaforma sarà operativa verosimilmente entro luglio 2026</w:t>
      </w:r>
    </w:p>
    <w:p w:rsidR="00872C7C" w:rsidRDefault="00872C7C" w:rsidP="00872C7C">
      <w:pPr>
        <w:numPr>
          <w:ilvl w:val="0"/>
          <w:numId w:val="2"/>
        </w:numPr>
        <w:jc w:val="both"/>
      </w:pPr>
      <w:r>
        <w:rPr>
          <w:b/>
          <w:bCs/>
        </w:rPr>
        <w:t>Tempistiche:</w:t>
      </w:r>
      <w:r>
        <w:t xml:space="preserve"> Una volta inserita la prenotazione, i concessionari hanno </w:t>
      </w:r>
      <w:r>
        <w:rPr>
          <w:b/>
          <w:bCs/>
        </w:rPr>
        <w:t>270 giorni</w:t>
      </w:r>
      <w:r>
        <w:t xml:space="preserve"> per confermare l'operazione inserendo il numero di targa del veicolo nuovo e la documentazione definitiva .</w:t>
      </w:r>
    </w:p>
    <w:p w:rsidR="00872C7C" w:rsidRPr="00DD628F" w:rsidRDefault="00872C7C" w:rsidP="00872C7C">
      <w:pPr>
        <w:pStyle w:val="Titolo3"/>
        <w:jc w:val="both"/>
        <w:rPr>
          <w:b/>
          <w:bCs/>
        </w:rPr>
      </w:pPr>
      <w:bookmarkStart w:id="6" w:name="_4xeqwizgwwua" w:colFirst="0" w:colLast="0"/>
      <w:bookmarkEnd w:id="6"/>
      <w:r>
        <w:rPr>
          <w:b/>
          <w:bCs/>
        </w:rPr>
        <w:t>Risorse d</w:t>
      </w:r>
      <w:r w:rsidRPr="00DD628F">
        <w:rPr>
          <w:b/>
          <w:bCs/>
        </w:rPr>
        <w:t>isponibili</w:t>
      </w:r>
    </w:p>
    <w:p w:rsidR="00872C7C" w:rsidRDefault="00872C7C" w:rsidP="00872C7C">
      <w:pPr>
        <w:jc w:val="both"/>
      </w:pPr>
      <w:r>
        <w:t xml:space="preserve">Il fondo stanziato per i veicoli commerciali è di </w:t>
      </w:r>
      <w:r>
        <w:rPr>
          <w:b/>
          <w:bCs/>
        </w:rPr>
        <w:t>40 milioni di euro</w:t>
      </w:r>
      <w:r>
        <w:t xml:space="preserve"> annui per il periodo 2026-2029 e di </w:t>
      </w:r>
      <w:r>
        <w:rPr>
          <w:b/>
          <w:bCs/>
        </w:rPr>
        <w:t>20 milioni</w:t>
      </w:r>
      <w:r>
        <w:t xml:space="preserve"> per il 2030 . È importante notare che il </w:t>
      </w:r>
      <w:r>
        <w:rPr>
          <w:b/>
          <w:bCs/>
        </w:rPr>
        <w:t>40% delle risorse</w:t>
      </w:r>
      <w:r>
        <w:t xml:space="preserve"> è riservato esclusivamente ai veicoli elettrici (BEV) e a idrogeno (FCEV).</w:t>
      </w:r>
    </w:p>
    <w:p w:rsidR="00713AF7" w:rsidRDefault="00713AF7" w:rsidP="00872C7C">
      <w:pPr>
        <w:jc w:val="both"/>
      </w:pPr>
    </w:p>
    <w:sectPr w:rsidR="00713A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23A8"/>
    <w:multiLevelType w:val="multilevel"/>
    <w:tmpl w:val="4126D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F333D52"/>
    <w:multiLevelType w:val="multilevel"/>
    <w:tmpl w:val="541AC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7C"/>
    <w:rsid w:val="00713AF7"/>
    <w:rsid w:val="0087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C7C"/>
    <w:pPr>
      <w:spacing w:after="0"/>
    </w:pPr>
    <w:rPr>
      <w:rFonts w:ascii="Arial" w:eastAsia="Arial" w:hAnsi="Arial" w:cs="Arial"/>
      <w:lang w:val="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2C7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72C7C"/>
    <w:rPr>
      <w:rFonts w:ascii="Arial" w:eastAsia="Arial" w:hAnsi="Arial" w:cs="Arial"/>
      <w:color w:val="434343"/>
      <w:sz w:val="28"/>
      <w:szCs w:val="28"/>
      <w:lang w:val="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C7C"/>
    <w:pPr>
      <w:spacing w:after="0"/>
    </w:pPr>
    <w:rPr>
      <w:rFonts w:ascii="Arial" w:eastAsia="Arial" w:hAnsi="Arial" w:cs="Arial"/>
      <w:lang w:val="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2C7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72C7C"/>
    <w:rPr>
      <w:rFonts w:ascii="Arial" w:eastAsia="Arial" w:hAnsi="Arial" w:cs="Arial"/>
      <w:color w:val="434343"/>
      <w:sz w:val="28"/>
      <w:szCs w:val="2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8FE2-7A34-4565-9956-228197AC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Cottavoz</dc:creator>
  <cp:lastModifiedBy>Barbara Cottavoz</cp:lastModifiedBy>
  <cp:revision>1</cp:revision>
  <dcterms:created xsi:type="dcterms:W3CDTF">2026-07-09T09:06:00Z</dcterms:created>
  <dcterms:modified xsi:type="dcterms:W3CDTF">2026-07-09T09:09:00Z</dcterms:modified>
</cp:coreProperties>
</file>